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115BB7">
              <w:t xml:space="preserve">Half Chicken (Folktale) 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115BB7">
              <w:t>The Lion and the Mouse (Traditional Tale)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115BB7">
            <w:r>
              <w:drawing>
                <wp:inline distT="0" distB="0" distL="0" distR="0">
                  <wp:extent cx="3895725" cy="46958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5725" cy="469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115BB7">
            <w:r>
              <w:drawing>
                <wp:inline distT="0" distB="0" distL="0" distR="0">
                  <wp:extent cx="2000250" cy="647700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BB7" w:rsidRDefault="00115BB7">
            <w:r>
              <w:drawing>
                <wp:inline distT="0" distB="0" distL="0" distR="0">
                  <wp:extent cx="2552700" cy="666750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BB7" w:rsidRDefault="00115BB7">
            <w:r>
              <w:drawing>
                <wp:inline distT="0" distB="0" distL="0" distR="0">
                  <wp:extent cx="2524125" cy="1123950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BB7" w:rsidRDefault="00115BB7">
            <w:r>
              <w:drawing>
                <wp:inline distT="0" distB="0" distL="0" distR="0">
                  <wp:extent cx="2581275" cy="1123950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ACTIVATING </w:t>
            </w:r>
            <w:r>
              <w:rPr>
                <w:b/>
                <w:bCs/>
              </w:rPr>
              <w:lastRenderedPageBreak/>
              <w:t>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Motivator / Hook</w:t>
            </w:r>
          </w:p>
          <w:p w:rsidR="0088655F" w:rsidRDefault="0088655F">
            <w:r>
              <w:rPr>
                <w:sz w:val="20"/>
              </w:rPr>
              <w:lastRenderedPageBreak/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lastRenderedPageBreak/>
              <w:t xml:space="preserve">Essential Question:  </w:t>
            </w:r>
            <w:r w:rsidR="00115BB7">
              <w:t xml:space="preserve">Why are some stories told over and over again? What is the author’s purpose? What lessons can we learn from folktales?  </w:t>
            </w:r>
          </w:p>
          <w:p w:rsidR="00C47488" w:rsidRDefault="00C47488" w:rsidP="00D17518">
            <w:r>
              <w:t xml:space="preserve">Hook, Teacher Read Aloud: </w:t>
            </w:r>
            <w:r w:rsidR="00115BB7">
              <w:t>Tiger in the Water: A Folktale from Malaysia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115BB7">
            <w:r>
              <w:drawing>
                <wp:inline distT="0" distB="0" distL="0" distR="0">
                  <wp:extent cx="1476375" cy="468630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468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504950" cy="4686300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468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00175" cy="4686300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68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66850" cy="4686300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468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307DF7" w:rsidRDefault="00307DF7">
            <w:r>
              <w:drawing>
                <wp:inline distT="0" distB="0" distL="0" distR="0">
                  <wp:extent cx="1590675" cy="4124325"/>
                  <wp:effectExtent l="19050" t="0" r="952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412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115BB7">
            <w:r>
              <w:drawing>
                <wp:inline distT="0" distB="0" distL="0" distR="0">
                  <wp:extent cx="2762250" cy="151447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247FA9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D81" w:rsidRDefault="00EE3D81" w:rsidP="00AF5623">
      <w:r>
        <w:separator/>
      </w:r>
    </w:p>
  </w:endnote>
  <w:endnote w:type="continuationSeparator" w:id="0">
    <w:p w:rsidR="00EE3D81" w:rsidRDefault="00EE3D81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D81" w:rsidRDefault="00EE3D81" w:rsidP="00AF5623">
      <w:r>
        <w:separator/>
      </w:r>
    </w:p>
  </w:footnote>
  <w:footnote w:type="continuationSeparator" w:id="0">
    <w:p w:rsidR="00EE3D81" w:rsidRDefault="00EE3D81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115BB7" w:rsidP="00AF5623">
    <w:pPr>
      <w:pStyle w:val="Header"/>
      <w:jc w:val="center"/>
    </w:pPr>
    <w:r>
      <w:t>Journeys Lesson 24</w:t>
    </w:r>
    <w:r w:rsidR="00251A46"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115BB7"/>
    <w:rsid w:val="00247FA9"/>
    <w:rsid w:val="00251A46"/>
    <w:rsid w:val="00307DF7"/>
    <w:rsid w:val="003B7A7B"/>
    <w:rsid w:val="004E4DBE"/>
    <w:rsid w:val="00551C47"/>
    <w:rsid w:val="005D7E8A"/>
    <w:rsid w:val="00652843"/>
    <w:rsid w:val="0088655F"/>
    <w:rsid w:val="009004A7"/>
    <w:rsid w:val="00AF5623"/>
    <w:rsid w:val="00C40385"/>
    <w:rsid w:val="00C47488"/>
    <w:rsid w:val="00CD3785"/>
    <w:rsid w:val="00D17518"/>
    <w:rsid w:val="00EE3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247FA9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247FA9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247FA9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247FA9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3</cp:revision>
  <cp:lastPrinted>2013-09-09T22:03:00Z</cp:lastPrinted>
  <dcterms:created xsi:type="dcterms:W3CDTF">2013-09-09T22:02:00Z</dcterms:created>
  <dcterms:modified xsi:type="dcterms:W3CDTF">2013-09-09T22:03:00Z</dcterms:modified>
</cp:coreProperties>
</file>